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04" w:rsidRDefault="006D47C6" w:rsidP="003F402A">
      <w:pPr>
        <w:spacing w:beforeLines="50" w:afterLines="50"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9D481E">
        <w:rPr>
          <w:rFonts w:ascii="黑体" w:eastAsia="黑体" w:hAnsi="黑体" w:hint="eastAsia"/>
          <w:b/>
          <w:sz w:val="30"/>
          <w:szCs w:val="30"/>
        </w:rPr>
        <w:t>河北大学201</w:t>
      </w:r>
      <w:r w:rsidR="00260918">
        <w:rPr>
          <w:rFonts w:ascii="黑体" w:eastAsia="黑体" w:hAnsi="黑体" w:hint="eastAsia"/>
          <w:b/>
          <w:sz w:val="30"/>
          <w:szCs w:val="30"/>
        </w:rPr>
        <w:t>8</w:t>
      </w:r>
      <w:r w:rsidRPr="009D481E">
        <w:rPr>
          <w:rFonts w:ascii="黑体" w:eastAsia="黑体" w:hAnsi="黑体" w:hint="eastAsia"/>
          <w:b/>
          <w:sz w:val="30"/>
          <w:szCs w:val="30"/>
        </w:rPr>
        <w:t>-201</w:t>
      </w:r>
      <w:r w:rsidR="00260918">
        <w:rPr>
          <w:rFonts w:ascii="黑体" w:eastAsia="黑体" w:hAnsi="黑体" w:hint="eastAsia"/>
          <w:b/>
          <w:sz w:val="30"/>
          <w:szCs w:val="30"/>
        </w:rPr>
        <w:t>9</w:t>
      </w:r>
      <w:r w:rsidRPr="009D481E">
        <w:rPr>
          <w:rFonts w:ascii="黑体" w:eastAsia="黑体" w:hAnsi="黑体" w:hint="eastAsia"/>
          <w:b/>
          <w:sz w:val="30"/>
          <w:szCs w:val="30"/>
        </w:rPr>
        <w:t>学年</w:t>
      </w:r>
      <w:r w:rsidR="00260918">
        <w:rPr>
          <w:rFonts w:ascii="黑体" w:eastAsia="黑体" w:hAnsi="黑体" w:hint="eastAsia"/>
          <w:b/>
          <w:sz w:val="30"/>
          <w:szCs w:val="30"/>
        </w:rPr>
        <w:t>秋</w:t>
      </w:r>
      <w:r w:rsidRPr="009D481E">
        <w:rPr>
          <w:rFonts w:ascii="黑体" w:eastAsia="黑体" w:hAnsi="黑体" w:hint="eastAsia"/>
          <w:b/>
          <w:sz w:val="30"/>
          <w:szCs w:val="30"/>
        </w:rPr>
        <w:t>学期</w:t>
      </w:r>
      <w:r w:rsidR="007110BA">
        <w:rPr>
          <w:rFonts w:ascii="黑体" w:eastAsia="黑体" w:hAnsi="黑体" w:hint="eastAsia"/>
          <w:b/>
          <w:sz w:val="30"/>
          <w:szCs w:val="30"/>
        </w:rPr>
        <w:t>学生</w:t>
      </w:r>
      <w:r w:rsidR="000B3604" w:rsidRPr="000B3604">
        <w:rPr>
          <w:rFonts w:ascii="黑体" w:eastAsia="黑体" w:hAnsi="黑体" w:hint="eastAsia"/>
          <w:b/>
          <w:sz w:val="30"/>
          <w:szCs w:val="30"/>
        </w:rPr>
        <w:t>评教分析报告</w:t>
      </w:r>
    </w:p>
    <w:p w:rsidR="006D47C6" w:rsidRPr="00446A00" w:rsidRDefault="006D47C6" w:rsidP="003F402A">
      <w:pPr>
        <w:snapToGrid w:val="0"/>
        <w:spacing w:beforeLines="100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201</w:t>
      </w:r>
      <w:r w:rsidR="007E5676" w:rsidRPr="00446A00">
        <w:rPr>
          <w:rFonts w:ascii="仿宋" w:eastAsia="仿宋" w:hAnsi="仿宋" w:hint="eastAsia"/>
          <w:sz w:val="28"/>
          <w:szCs w:val="28"/>
        </w:rPr>
        <w:t>8</w:t>
      </w:r>
      <w:r w:rsidRPr="00446A00">
        <w:rPr>
          <w:rFonts w:ascii="仿宋" w:eastAsia="仿宋" w:hAnsi="仿宋" w:hint="eastAsia"/>
          <w:sz w:val="28"/>
          <w:szCs w:val="28"/>
        </w:rPr>
        <w:t>年</w:t>
      </w:r>
      <w:r w:rsidR="00B32521" w:rsidRPr="00446A00">
        <w:rPr>
          <w:rFonts w:ascii="仿宋" w:eastAsia="仿宋" w:hAnsi="仿宋" w:hint="eastAsia"/>
          <w:sz w:val="28"/>
          <w:szCs w:val="28"/>
        </w:rPr>
        <w:t>11</w:t>
      </w:r>
      <w:r w:rsidRPr="00446A00">
        <w:rPr>
          <w:rFonts w:ascii="仿宋" w:eastAsia="仿宋" w:hAnsi="仿宋" w:hint="eastAsia"/>
          <w:sz w:val="28"/>
          <w:szCs w:val="28"/>
        </w:rPr>
        <w:t>月</w:t>
      </w:r>
      <w:r w:rsidR="00B32521" w:rsidRPr="00446A00">
        <w:rPr>
          <w:rFonts w:ascii="仿宋" w:eastAsia="仿宋" w:hAnsi="仿宋" w:hint="eastAsia"/>
          <w:sz w:val="28"/>
          <w:szCs w:val="28"/>
        </w:rPr>
        <w:t>28</w:t>
      </w:r>
      <w:r w:rsidRPr="00446A00">
        <w:rPr>
          <w:rFonts w:ascii="仿宋" w:eastAsia="仿宋" w:hAnsi="仿宋" w:hint="eastAsia"/>
          <w:sz w:val="28"/>
          <w:szCs w:val="28"/>
        </w:rPr>
        <w:t>日～</w:t>
      </w:r>
      <w:r w:rsidR="00AC6762" w:rsidRPr="00446A00">
        <w:rPr>
          <w:rFonts w:ascii="仿宋" w:eastAsia="仿宋" w:hAnsi="仿宋" w:hint="eastAsia"/>
          <w:sz w:val="28"/>
          <w:szCs w:val="28"/>
        </w:rPr>
        <w:t>2018年</w:t>
      </w:r>
      <w:r w:rsidR="00B32521" w:rsidRPr="00446A00">
        <w:rPr>
          <w:rFonts w:ascii="仿宋" w:eastAsia="仿宋" w:hAnsi="仿宋" w:hint="eastAsia"/>
          <w:sz w:val="28"/>
          <w:szCs w:val="28"/>
        </w:rPr>
        <w:t>12</w:t>
      </w:r>
      <w:r w:rsidRPr="00446A00">
        <w:rPr>
          <w:rFonts w:ascii="仿宋" w:eastAsia="仿宋" w:hAnsi="仿宋" w:hint="eastAsia"/>
          <w:sz w:val="28"/>
          <w:szCs w:val="28"/>
        </w:rPr>
        <w:t>月</w:t>
      </w:r>
      <w:r w:rsidR="007E5676" w:rsidRPr="00446A00">
        <w:rPr>
          <w:rFonts w:ascii="仿宋" w:eastAsia="仿宋" w:hAnsi="仿宋" w:hint="eastAsia"/>
          <w:sz w:val="28"/>
          <w:szCs w:val="28"/>
        </w:rPr>
        <w:t>20</w:t>
      </w:r>
      <w:r w:rsidRPr="00446A00">
        <w:rPr>
          <w:rFonts w:ascii="仿宋" w:eastAsia="仿宋" w:hAnsi="仿宋" w:hint="eastAsia"/>
          <w:sz w:val="28"/>
          <w:szCs w:val="28"/>
        </w:rPr>
        <w:t>日，</w:t>
      </w:r>
      <w:r w:rsidR="007E5676" w:rsidRPr="00446A00">
        <w:rPr>
          <w:rFonts w:ascii="仿宋" w:eastAsia="仿宋" w:hAnsi="仿宋" w:hint="eastAsia"/>
          <w:sz w:val="28"/>
          <w:szCs w:val="28"/>
        </w:rPr>
        <w:t>教育教学质量</w:t>
      </w:r>
      <w:r w:rsidRPr="00446A00">
        <w:rPr>
          <w:rFonts w:ascii="仿宋" w:eastAsia="仿宋" w:hAnsi="仿宋" w:hint="eastAsia"/>
          <w:sz w:val="28"/>
          <w:szCs w:val="28"/>
        </w:rPr>
        <w:t>评估中心组织开展了201</w:t>
      </w:r>
      <w:r w:rsidR="00B32521" w:rsidRPr="00446A00">
        <w:rPr>
          <w:rFonts w:ascii="仿宋" w:eastAsia="仿宋" w:hAnsi="仿宋" w:hint="eastAsia"/>
          <w:sz w:val="28"/>
          <w:szCs w:val="28"/>
        </w:rPr>
        <w:t>8</w:t>
      </w:r>
      <w:r w:rsidRPr="00446A00">
        <w:rPr>
          <w:rFonts w:ascii="仿宋" w:eastAsia="仿宋" w:hAnsi="仿宋" w:hint="eastAsia"/>
          <w:sz w:val="28"/>
          <w:szCs w:val="28"/>
        </w:rPr>
        <w:t>-201</w:t>
      </w:r>
      <w:r w:rsidR="00B32521" w:rsidRPr="00446A00">
        <w:rPr>
          <w:rFonts w:ascii="仿宋" w:eastAsia="仿宋" w:hAnsi="仿宋" w:hint="eastAsia"/>
          <w:sz w:val="28"/>
          <w:szCs w:val="28"/>
        </w:rPr>
        <w:t>9</w:t>
      </w:r>
      <w:r w:rsidRPr="00446A00">
        <w:rPr>
          <w:rFonts w:ascii="仿宋" w:eastAsia="仿宋" w:hAnsi="仿宋" w:hint="eastAsia"/>
          <w:sz w:val="28"/>
          <w:szCs w:val="28"/>
        </w:rPr>
        <w:t>学年</w:t>
      </w:r>
      <w:r w:rsidR="00B32521" w:rsidRPr="00446A00">
        <w:rPr>
          <w:rFonts w:ascii="仿宋" w:eastAsia="仿宋" w:hAnsi="仿宋" w:hint="eastAsia"/>
          <w:sz w:val="28"/>
          <w:szCs w:val="28"/>
        </w:rPr>
        <w:t>秋</w:t>
      </w:r>
      <w:r w:rsidRPr="00446A00">
        <w:rPr>
          <w:rFonts w:ascii="仿宋" w:eastAsia="仿宋" w:hAnsi="仿宋" w:hint="eastAsia"/>
          <w:sz w:val="28"/>
          <w:szCs w:val="28"/>
        </w:rPr>
        <w:t>学期学生评教工作。为保证评教系统正常运行，本次评教继续采用各年级分段评教方式；为方便学生评教，本次评教仍旧以网络评教（电脑评教和手机评教）为主，针对没有纳入综合教务系统内的课程，相关学院组织学生开展了现场纸质评教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bookmarkStart w:id="0" w:name="_Toc456083902"/>
      <w:r w:rsidRPr="00446A00">
        <w:rPr>
          <w:rFonts w:ascii="仿宋" w:eastAsia="仿宋" w:hAnsi="仿宋" w:hint="eastAsia"/>
          <w:b/>
          <w:sz w:val="28"/>
          <w:szCs w:val="28"/>
        </w:rPr>
        <w:t>一、</w:t>
      </w:r>
      <w:r w:rsidR="00376600" w:rsidRPr="00446A00">
        <w:rPr>
          <w:rFonts w:ascii="仿宋" w:eastAsia="仿宋" w:hAnsi="仿宋" w:hint="eastAsia"/>
          <w:b/>
          <w:sz w:val="28"/>
          <w:szCs w:val="28"/>
        </w:rPr>
        <w:t>学生</w:t>
      </w:r>
      <w:r w:rsidRPr="00446A00">
        <w:rPr>
          <w:rFonts w:ascii="仿宋" w:eastAsia="仿宋" w:hAnsi="仿宋" w:hint="eastAsia"/>
          <w:b/>
          <w:sz w:val="28"/>
          <w:szCs w:val="28"/>
        </w:rPr>
        <w:t>评教实施总体情况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（一）评教范围</w:t>
      </w:r>
      <w:bookmarkEnd w:id="0"/>
    </w:p>
    <w:p w:rsidR="00376600" w:rsidRPr="00446A00" w:rsidRDefault="006D47C6" w:rsidP="00446A0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被</w:t>
      </w:r>
      <w:proofErr w:type="gramStart"/>
      <w:r w:rsidRPr="00446A00">
        <w:rPr>
          <w:rFonts w:ascii="仿宋" w:eastAsia="仿宋" w:hAnsi="仿宋" w:hint="eastAsia"/>
          <w:sz w:val="28"/>
          <w:szCs w:val="28"/>
        </w:rPr>
        <w:t>评教师</w:t>
      </w:r>
      <w:proofErr w:type="gramEnd"/>
      <w:r w:rsidRPr="00446A00">
        <w:rPr>
          <w:rFonts w:ascii="仿宋" w:eastAsia="仿宋" w:hAnsi="仿宋" w:hint="eastAsia"/>
          <w:sz w:val="28"/>
          <w:szCs w:val="28"/>
        </w:rPr>
        <w:t>为该学期为本科生讲授理论课程、实验课程和实践课程的教师，</w:t>
      </w:r>
      <w:r w:rsidR="00B40A97" w:rsidRPr="00446A00">
        <w:rPr>
          <w:rFonts w:ascii="仿宋" w:eastAsia="仿宋" w:hAnsi="仿宋" w:hint="eastAsia"/>
          <w:sz w:val="28"/>
          <w:szCs w:val="28"/>
        </w:rPr>
        <w:t>其中</w:t>
      </w:r>
      <w:r w:rsidRPr="00446A00">
        <w:rPr>
          <w:rFonts w:ascii="仿宋" w:eastAsia="仿宋" w:hAnsi="仿宋" w:cs="Times New Roman" w:hint="eastAsia"/>
          <w:sz w:val="28"/>
          <w:szCs w:val="28"/>
        </w:rPr>
        <w:t>实践课程</w:t>
      </w:r>
      <w:r w:rsidR="00B40A97" w:rsidRPr="00446A00">
        <w:rPr>
          <w:rFonts w:ascii="仿宋" w:eastAsia="仿宋" w:hAnsi="仿宋" w:cs="Times New Roman" w:hint="eastAsia"/>
          <w:sz w:val="28"/>
          <w:szCs w:val="28"/>
        </w:rPr>
        <w:t>包括</w:t>
      </w:r>
      <w:r w:rsidRPr="00446A00">
        <w:rPr>
          <w:rFonts w:ascii="仿宋" w:eastAsia="仿宋" w:hAnsi="仿宋" w:cs="Times New Roman" w:hint="eastAsia"/>
          <w:sz w:val="28"/>
          <w:szCs w:val="28"/>
        </w:rPr>
        <w:t>毕业论文（设计）、毕业实习、见习和校外实践等课程</w:t>
      </w:r>
      <w:r w:rsidR="00376600" w:rsidRPr="00446A00">
        <w:rPr>
          <w:rFonts w:ascii="仿宋" w:eastAsia="仿宋" w:hAnsi="仿宋" w:cs="Times New Roman" w:hint="eastAsia"/>
          <w:sz w:val="28"/>
          <w:szCs w:val="28"/>
        </w:rPr>
        <w:t>，集中实践周课程不在评价范围内</w:t>
      </w:r>
      <w:r w:rsidRPr="00446A00">
        <w:rPr>
          <w:rFonts w:ascii="仿宋" w:eastAsia="仿宋" w:hAnsi="仿宋" w:hint="eastAsia"/>
          <w:sz w:val="28"/>
          <w:szCs w:val="28"/>
        </w:rPr>
        <w:t>；参评学生为本学期修读被评课程的全体学生。</w:t>
      </w:r>
      <w:bookmarkStart w:id="1" w:name="_Toc456083903"/>
    </w:p>
    <w:p w:rsidR="006D47C6" w:rsidRPr="00446A00" w:rsidRDefault="006D47C6" w:rsidP="00446A00">
      <w:pPr>
        <w:widowControl/>
        <w:snapToGrid w:val="0"/>
        <w:spacing w:line="360" w:lineRule="auto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（二）评教标准</w:t>
      </w:r>
      <w:bookmarkEnd w:id="1"/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遵循教学过程和教学效果并重的原则，评价课程类型分为人文课程、理工课程、外语课程、艺术课程、艺术课程（实践）、体育课程、实验课程和实践课程等八类，评价指标包含教学内容、教学态度、教学水平和教学效果四个方面，共10项内容</w:t>
      </w:r>
      <w:r w:rsidR="007E5676" w:rsidRPr="00446A00">
        <w:rPr>
          <w:rFonts w:ascii="仿宋" w:eastAsia="仿宋" w:hAnsi="仿宋" w:hint="eastAsia"/>
          <w:sz w:val="28"/>
          <w:szCs w:val="28"/>
        </w:rPr>
        <w:t>，满分100分。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Toc456083904"/>
      <w:r w:rsidRPr="00446A00">
        <w:rPr>
          <w:rFonts w:ascii="仿宋" w:eastAsia="仿宋" w:hAnsi="仿宋" w:hint="eastAsia"/>
          <w:sz w:val="28"/>
          <w:szCs w:val="28"/>
        </w:rPr>
        <w:t>（三）成绩统计方法</w:t>
      </w:r>
      <w:bookmarkEnd w:id="2"/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学生评教率达到80%</w:t>
      </w:r>
      <w:r w:rsidR="00B32521" w:rsidRPr="00446A00">
        <w:rPr>
          <w:rFonts w:ascii="仿宋" w:eastAsia="仿宋" w:hAnsi="仿宋" w:hint="eastAsia"/>
          <w:sz w:val="28"/>
          <w:szCs w:val="28"/>
        </w:rPr>
        <w:t>及</w:t>
      </w:r>
      <w:r w:rsidRPr="00446A00">
        <w:rPr>
          <w:rFonts w:ascii="仿宋" w:eastAsia="仿宋" w:hAnsi="仿宋" w:hint="eastAsia"/>
          <w:sz w:val="28"/>
          <w:szCs w:val="28"/>
        </w:rPr>
        <w:t>以上的评教数据为有效数据</w:t>
      </w:r>
      <w:r w:rsidR="00D54443" w:rsidRPr="00446A00">
        <w:rPr>
          <w:rFonts w:ascii="仿宋" w:eastAsia="仿宋" w:hAnsi="仿宋" w:hint="eastAsia"/>
          <w:sz w:val="28"/>
          <w:szCs w:val="28"/>
        </w:rPr>
        <w:t>，计算教师评教成绩</w:t>
      </w:r>
      <w:r w:rsidRPr="00446A00">
        <w:rPr>
          <w:rFonts w:ascii="仿宋" w:eastAsia="仿宋" w:hAnsi="仿宋" w:hint="eastAsia"/>
          <w:sz w:val="28"/>
          <w:szCs w:val="28"/>
        </w:rPr>
        <w:t>。为保证评教信度和效度，评教结果统计时，将学生评教有效数据排序，去除前后各5%数据后，再取其平均数，形成了每位任课教师的评教成绩。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Toc456083905"/>
      <w:r w:rsidRPr="00446A00">
        <w:rPr>
          <w:rFonts w:ascii="仿宋" w:eastAsia="仿宋" w:hAnsi="仿宋" w:hint="eastAsia"/>
          <w:sz w:val="28"/>
          <w:szCs w:val="28"/>
        </w:rPr>
        <w:t>（四）成绩查询</w:t>
      </w:r>
      <w:bookmarkEnd w:id="3"/>
    </w:p>
    <w:p w:rsidR="007E567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评教结束后，评估中心及时向各教学单位反馈任课教师评教成绩，各单位将评教总体情况通报给全体教师，任课教师也可通过教务系统入口查询评教结果。</w:t>
      </w:r>
    </w:p>
    <w:p w:rsidR="00B32521" w:rsidRPr="00446A00" w:rsidRDefault="007E567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lastRenderedPageBreak/>
        <w:t xml:space="preserve"> 具体查询方式为：</w:t>
      </w:r>
      <w:bookmarkStart w:id="4" w:name="_Toc456083907"/>
      <w:r w:rsidR="00B32521" w:rsidRPr="00446A00">
        <w:rPr>
          <w:rFonts w:ascii="仿宋" w:eastAsia="仿宋" w:hAnsi="仿宋" w:hint="eastAsia"/>
          <w:sz w:val="28"/>
          <w:szCs w:val="28"/>
        </w:rPr>
        <w:t>河北大学主页——左下“教育教学”——“教务系统”——“教学评估”——“评估结果查询”——选择对应的学年学期（2018-2019学年秋）——点击查询，可以查看具体课堂的评价分数、详细评估结果和学生主观评价。</w:t>
      </w:r>
    </w:p>
    <w:p w:rsidR="00063635" w:rsidRPr="00446A00" w:rsidRDefault="00B32521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如成绩显示为0的则说明此课堂学生评教率不足80%</w:t>
      </w:r>
      <w:r w:rsidR="00F93C42" w:rsidRPr="00446A00">
        <w:rPr>
          <w:rFonts w:ascii="仿宋" w:eastAsia="仿宋" w:hAnsi="仿宋" w:hint="eastAsia"/>
          <w:sz w:val="28"/>
          <w:szCs w:val="28"/>
        </w:rPr>
        <w:t>，但</w:t>
      </w:r>
      <w:r w:rsidRPr="00446A00">
        <w:rPr>
          <w:rFonts w:ascii="仿宋" w:eastAsia="仿宋" w:hAnsi="仿宋" w:hint="eastAsia"/>
          <w:sz w:val="28"/>
          <w:szCs w:val="28"/>
        </w:rPr>
        <w:t>任课教师仍然可以查询此课堂的学生主观评价。</w:t>
      </w:r>
    </w:p>
    <w:p w:rsidR="006D47C6" w:rsidRPr="00446A00" w:rsidRDefault="006D47C6" w:rsidP="00446A00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二、</w:t>
      </w:r>
      <w:r w:rsidR="00376600" w:rsidRPr="00446A00">
        <w:rPr>
          <w:rFonts w:ascii="仿宋" w:eastAsia="仿宋" w:hAnsi="仿宋" w:hint="eastAsia"/>
          <w:b/>
          <w:sz w:val="28"/>
          <w:szCs w:val="28"/>
        </w:rPr>
        <w:t>学生</w:t>
      </w:r>
      <w:r w:rsidRPr="00446A00">
        <w:rPr>
          <w:rFonts w:ascii="仿宋" w:eastAsia="仿宋" w:hAnsi="仿宋" w:hint="eastAsia"/>
          <w:b/>
          <w:sz w:val="28"/>
          <w:szCs w:val="28"/>
        </w:rPr>
        <w:t>评教整体情况</w:t>
      </w:r>
      <w:bookmarkEnd w:id="4"/>
    </w:p>
    <w:p w:rsidR="00EC34EE" w:rsidRPr="00446A00" w:rsidRDefault="00EC34EE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从参评学生与被评教师、课程情况看，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学生（不含工商学院）应参评人次</w:t>
      </w:r>
      <w:r w:rsidR="00EF591F" w:rsidRPr="00446A00">
        <w:rPr>
          <w:rFonts w:ascii="仿宋" w:eastAsia="仿宋" w:hAnsi="仿宋"/>
          <w:color w:val="000000" w:themeColor="text1"/>
          <w:sz w:val="28"/>
          <w:szCs w:val="28"/>
        </w:rPr>
        <w:t>316385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，实际参评人次</w:t>
      </w:r>
      <w:r w:rsidR="00EF591F" w:rsidRPr="00446A00">
        <w:rPr>
          <w:rFonts w:ascii="仿宋" w:eastAsia="仿宋" w:hAnsi="仿宋"/>
          <w:color w:val="000000" w:themeColor="text1"/>
          <w:sz w:val="28"/>
          <w:szCs w:val="28"/>
        </w:rPr>
        <w:t>283578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参评率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为</w:t>
      </w:r>
      <w:r w:rsidR="00F10924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89.</w:t>
      </w:r>
      <w:r w:rsidR="00EF591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%。应</w:t>
      </w:r>
      <w:proofErr w:type="gramStart"/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评教师</w:t>
      </w:r>
      <w:proofErr w:type="gramEnd"/>
      <w:r w:rsidR="0078059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1782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人，实</w:t>
      </w:r>
      <w:proofErr w:type="gramStart"/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评教师</w:t>
      </w:r>
      <w:proofErr w:type="gramEnd"/>
      <w:r w:rsidR="0078059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178</w:t>
      </w:r>
      <w:r w:rsidR="00273A72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人；应评课程</w:t>
      </w:r>
      <w:r w:rsidR="0043162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2587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5762门次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,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实评课程</w:t>
      </w:r>
      <w:r w:rsidR="0043162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258</w:t>
      </w:r>
      <w:r w:rsidR="00273A72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6D47C6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门</w:t>
      </w:r>
      <w:r w:rsidR="00E21E8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E21E8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5752门次</w:t>
      </w: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6D47C6" w:rsidRPr="00446A00" w:rsidRDefault="00EC34EE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从评教结果看，参评教师成绩最高分为100分，最低分为53.32分，全校平均分为96.48分。评教成绩排名前10%的教师人数255人（评教成绩大于等于99.12），排名后10%教师人数288人（评教成绩小于等于93.25）。排名前10%的课程</w:t>
      </w:r>
      <w:r w:rsidR="0079432E" w:rsidRPr="00446A00">
        <w:rPr>
          <w:rFonts w:ascii="仿宋" w:eastAsia="仿宋" w:hAnsi="仿宋" w:hint="eastAsia"/>
          <w:sz w:val="28"/>
          <w:szCs w:val="28"/>
        </w:rPr>
        <w:t>364</w:t>
      </w:r>
      <w:r w:rsidRPr="00446A00">
        <w:rPr>
          <w:rFonts w:ascii="仿宋" w:eastAsia="仿宋" w:hAnsi="仿宋" w:hint="eastAsia"/>
          <w:sz w:val="28"/>
          <w:szCs w:val="28"/>
        </w:rPr>
        <w:t>门次，排名后10%的课程</w:t>
      </w:r>
      <w:r w:rsidR="0079432E" w:rsidRPr="00446A00">
        <w:rPr>
          <w:rFonts w:ascii="仿宋" w:eastAsia="仿宋" w:hAnsi="仿宋" w:hint="eastAsia"/>
          <w:sz w:val="28"/>
          <w:szCs w:val="28"/>
        </w:rPr>
        <w:t>348</w:t>
      </w:r>
      <w:r w:rsidRPr="00446A00">
        <w:rPr>
          <w:rFonts w:ascii="仿宋" w:eastAsia="仿宋" w:hAnsi="仿宋" w:hint="eastAsia"/>
          <w:sz w:val="28"/>
          <w:szCs w:val="28"/>
        </w:rPr>
        <w:t>门次。评教成绩低于90分的课程99门，低于85分的课程22门。</w:t>
      </w:r>
    </w:p>
    <w:p w:rsidR="006D47C6" w:rsidRPr="00446A00" w:rsidRDefault="006D47C6" w:rsidP="00446A00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表1  各教学单位学生</w:t>
      </w:r>
      <w:r w:rsidR="0043162F" w:rsidRPr="00446A00">
        <w:rPr>
          <w:rFonts w:ascii="仿宋" w:eastAsia="仿宋" w:hAnsi="仿宋" w:hint="eastAsia"/>
          <w:b/>
          <w:sz w:val="28"/>
          <w:szCs w:val="28"/>
        </w:rPr>
        <w:t>参评</w:t>
      </w:r>
      <w:r w:rsidRPr="00446A00">
        <w:rPr>
          <w:rFonts w:ascii="仿宋" w:eastAsia="仿宋" w:hAnsi="仿宋" w:hint="eastAsia"/>
          <w:b/>
          <w:sz w:val="28"/>
          <w:szCs w:val="28"/>
        </w:rPr>
        <w:t>率</w:t>
      </w:r>
    </w:p>
    <w:tbl>
      <w:tblPr>
        <w:tblW w:w="8160" w:type="dxa"/>
        <w:tblInd w:w="93" w:type="dxa"/>
        <w:tblLook w:val="04A0"/>
      </w:tblPr>
      <w:tblGrid>
        <w:gridCol w:w="960"/>
        <w:gridCol w:w="3400"/>
        <w:gridCol w:w="1240"/>
        <w:gridCol w:w="1360"/>
        <w:gridCol w:w="1200"/>
      </w:tblGrid>
      <w:tr w:rsidR="0043162F" w:rsidRPr="0043162F" w:rsidTr="0043162F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应评人次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已评人次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参评率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737A80">
            <w:pPr>
              <w:widowControl/>
              <w:snapToGrid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737A80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737A8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737A8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737A80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81.73%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3465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86.72%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93.41%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15567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91.82%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25719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93.79%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7649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92.87%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95.12%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政法学院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90.79%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12999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10425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80.20%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85.53%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网络空间安全与计算机学院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10557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91.51%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物理科学与技术学院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12891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88.81%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化学与环境科学学院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86.72%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91.27%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电子信息工程学院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87.54%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建筑工程学院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13585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83.19%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质量技术监督学院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90.60%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12154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92.55%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18622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92.55%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3162F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11872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89.55%</w:t>
            </w:r>
          </w:p>
        </w:tc>
      </w:tr>
      <w:tr w:rsidR="00E75D0B" w:rsidRPr="0043162F" w:rsidTr="004316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92.78%</w:t>
            </w:r>
          </w:p>
        </w:tc>
      </w:tr>
      <w:tr w:rsidR="00E75D0B" w:rsidRPr="0043162F" w:rsidTr="0043162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11270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10207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90.57%</w:t>
            </w:r>
          </w:p>
        </w:tc>
      </w:tr>
      <w:tr w:rsidR="00E75D0B" w:rsidRPr="0043162F" w:rsidTr="0043162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河北大学-中央兰开夏传媒与创意学院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E75D0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70.25%</w:t>
            </w:r>
          </w:p>
        </w:tc>
      </w:tr>
      <w:tr w:rsidR="0043162F" w:rsidRPr="0043162F" w:rsidTr="0043162F">
        <w:trPr>
          <w:trHeight w:val="555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学生总体评教率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316385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283578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3162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446A00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89.63%</w:t>
            </w:r>
          </w:p>
        </w:tc>
      </w:tr>
    </w:tbl>
    <w:p w:rsidR="00446A00" w:rsidRDefault="00446A00" w:rsidP="00737A80">
      <w:pPr>
        <w:snapToGrid w:val="0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6D47C6" w:rsidRPr="00446A00" w:rsidRDefault="006D47C6" w:rsidP="00446A00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表2   各教学单位教师平均评教成绩</w:t>
      </w:r>
    </w:p>
    <w:tbl>
      <w:tblPr>
        <w:tblW w:w="7868" w:type="dxa"/>
        <w:jc w:val="center"/>
        <w:tblInd w:w="-955" w:type="dxa"/>
        <w:tblLook w:val="04A0"/>
      </w:tblPr>
      <w:tblGrid>
        <w:gridCol w:w="1985"/>
        <w:gridCol w:w="3623"/>
        <w:gridCol w:w="2260"/>
      </w:tblGrid>
      <w:tr w:rsidR="0043162F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62F" w:rsidRPr="00446A00" w:rsidRDefault="0043162F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教师评教平均成绩</w:t>
            </w:r>
            <w:r w:rsidRPr="00446A00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文学院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96.02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历史学院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96.16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新闻传播学院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96.51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经济学院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96.15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管理学院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96.1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外国语学院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96.84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教育学院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95.74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政法学院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96.26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艺术学院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95.84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数学与信息科学学院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96.94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网络空间安全与计算机学院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96.79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物理科学与技术学院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95.75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化学与环境科学学院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96.5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生命科学学院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97.55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电子信息工程学院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97.29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建筑工程学院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97.87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质量技术监督学院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96.53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药学院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96.48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96.5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护理学院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96.26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医学院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96.54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97.03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94.98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公共外语教学部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96.98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体育教学部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96.49</w:t>
            </w:r>
          </w:p>
        </w:tc>
      </w:tr>
      <w:tr w:rsidR="00E75D0B" w:rsidRPr="00446A00" w:rsidTr="00737A80">
        <w:trPr>
          <w:trHeight w:val="402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计算机教学部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0B" w:rsidRPr="00446A00" w:rsidRDefault="00E75D0B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95.4</w:t>
            </w:r>
          </w:p>
        </w:tc>
      </w:tr>
    </w:tbl>
    <w:p w:rsidR="00737A80" w:rsidRDefault="00737A80" w:rsidP="003F402A">
      <w:pPr>
        <w:spacing w:beforeLines="50" w:line="380" w:lineRule="exact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040C9" w:rsidRPr="00446A00" w:rsidRDefault="002B7E7E" w:rsidP="00446A00">
      <w:pPr>
        <w:snapToGrid w:val="0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/>
          <w:b/>
          <w:sz w:val="28"/>
          <w:szCs w:val="28"/>
        </w:rPr>
        <w:t>表</w:t>
      </w:r>
      <w:r w:rsidR="00C040C9" w:rsidRPr="00446A00">
        <w:rPr>
          <w:rFonts w:ascii="仿宋" w:eastAsia="仿宋" w:hAnsi="仿宋" w:hint="eastAsia"/>
          <w:b/>
          <w:sz w:val="28"/>
          <w:szCs w:val="28"/>
        </w:rPr>
        <w:t>3 各教学单位</w:t>
      </w:r>
      <w:proofErr w:type="gramStart"/>
      <w:r w:rsidR="00C040C9" w:rsidRPr="00446A00">
        <w:rPr>
          <w:rFonts w:ascii="仿宋" w:eastAsia="仿宋" w:hAnsi="仿宋" w:hint="eastAsia"/>
          <w:b/>
          <w:sz w:val="28"/>
          <w:szCs w:val="28"/>
        </w:rPr>
        <w:t>参评门次</w:t>
      </w:r>
      <w:proofErr w:type="gramEnd"/>
      <w:r w:rsidR="00C040C9" w:rsidRPr="00446A00">
        <w:rPr>
          <w:rFonts w:ascii="仿宋" w:eastAsia="仿宋" w:hAnsi="仿宋" w:hint="eastAsia"/>
          <w:b/>
          <w:sz w:val="28"/>
          <w:szCs w:val="28"/>
        </w:rPr>
        <w:t>排名前10%和后10%具体情况</w:t>
      </w:r>
    </w:p>
    <w:p w:rsidR="003442EC" w:rsidRDefault="00C040C9" w:rsidP="00446A00">
      <w:pPr>
        <w:jc w:val="center"/>
        <w:rPr>
          <w:rFonts w:ascii="仿宋" w:eastAsia="仿宋" w:hAnsi="仿宋"/>
          <w:color w:val="000000"/>
          <w:sz w:val="24"/>
          <w:szCs w:val="24"/>
        </w:rPr>
      </w:pPr>
      <w:r w:rsidRPr="00446A00">
        <w:rPr>
          <w:rFonts w:ascii="仿宋" w:eastAsia="仿宋" w:hAnsi="仿宋" w:hint="eastAsia"/>
          <w:color w:val="000000"/>
          <w:sz w:val="24"/>
          <w:szCs w:val="24"/>
        </w:rPr>
        <w:t>（</w:t>
      </w:r>
      <w:proofErr w:type="gramStart"/>
      <w:r w:rsidRPr="00446A00">
        <w:rPr>
          <w:rFonts w:ascii="仿宋" w:eastAsia="仿宋" w:hAnsi="仿宋" w:hint="eastAsia"/>
          <w:color w:val="000000"/>
          <w:sz w:val="24"/>
          <w:szCs w:val="24"/>
        </w:rPr>
        <w:t>参评门次</w:t>
      </w:r>
      <w:proofErr w:type="gramEnd"/>
      <w:r w:rsidRPr="00446A00">
        <w:rPr>
          <w:rFonts w:ascii="仿宋" w:eastAsia="仿宋" w:hAnsi="仿宋" w:hint="eastAsia"/>
          <w:color w:val="000000"/>
          <w:sz w:val="24"/>
          <w:szCs w:val="24"/>
        </w:rPr>
        <w:t>按照</w:t>
      </w:r>
      <w:r w:rsidR="00626EBF" w:rsidRPr="00446A00">
        <w:rPr>
          <w:rFonts w:ascii="仿宋" w:eastAsia="仿宋" w:hAnsi="仿宋" w:hint="eastAsia"/>
          <w:color w:val="000000"/>
          <w:sz w:val="24"/>
          <w:szCs w:val="24"/>
        </w:rPr>
        <w:t>教师</w:t>
      </w:r>
      <w:r w:rsidRPr="00446A00">
        <w:rPr>
          <w:rFonts w:ascii="仿宋" w:eastAsia="仿宋" w:hAnsi="仿宋" w:hint="eastAsia"/>
          <w:color w:val="000000"/>
          <w:sz w:val="24"/>
          <w:szCs w:val="24"/>
        </w:rPr>
        <w:t>所在院系统计）</w:t>
      </w:r>
    </w:p>
    <w:p w:rsidR="00446A00" w:rsidRPr="00446A00" w:rsidRDefault="00446A00" w:rsidP="00446A00">
      <w:pPr>
        <w:jc w:val="center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8412" w:type="dxa"/>
        <w:jc w:val="center"/>
        <w:tblInd w:w="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43"/>
        <w:gridCol w:w="2268"/>
        <w:gridCol w:w="1074"/>
        <w:gridCol w:w="973"/>
        <w:gridCol w:w="1071"/>
        <w:gridCol w:w="906"/>
        <w:gridCol w:w="1077"/>
      </w:tblGrid>
      <w:tr w:rsidR="0079432E" w:rsidRPr="00446A00" w:rsidTr="0079432E">
        <w:trPr>
          <w:trHeight w:val="78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教学单位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proofErr w:type="gramStart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参评门次</w:t>
            </w:r>
            <w:proofErr w:type="gramEnd"/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4A142D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前10.0%</w:t>
            </w:r>
          </w:p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前10.0%</w:t>
            </w:r>
            <w:proofErr w:type="gramStart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门次占</w:t>
            </w:r>
            <w:proofErr w:type="gramEnd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院系总门</w:t>
            </w:r>
            <w:proofErr w:type="gramStart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次比例</w:t>
            </w:r>
            <w:proofErr w:type="gramEnd"/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后10.0%</w:t>
            </w:r>
          </w:p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后10.0%</w:t>
            </w:r>
            <w:proofErr w:type="gramStart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门次占</w:t>
            </w:r>
            <w:proofErr w:type="gramEnd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院系总门</w:t>
            </w:r>
            <w:proofErr w:type="gramStart"/>
            <w:r w:rsidRPr="00446A0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次比例</w:t>
            </w:r>
            <w:proofErr w:type="gramEnd"/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10.8%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9.2%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10.8%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4.4%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8.4%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18.5%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6.3%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20.0%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政法学院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10.8%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13.5%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艺术学院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24.4%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18.7%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数学与信息科学学院</w:t>
            </w:r>
            <w:r w:rsidRPr="00446A0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10.9%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6.4%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网络空间安全与计算机学院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7.3%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物理科学与技术学院</w:t>
            </w:r>
            <w:r w:rsidRPr="00446A0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9.7%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化学与环境科学学院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9.0%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26.5%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电子信息工程学院</w:t>
            </w:r>
            <w:r w:rsidRPr="00446A00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9.9%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3.7%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建筑工程学院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24.3%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2.7%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质量技术监督学院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3.6%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12.5%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1.8%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12.5%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7.2%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8.4%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3.6%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7.2%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5.1%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中医学院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2.1%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4.3%</w:t>
            </w:r>
          </w:p>
        </w:tc>
      </w:tr>
      <w:tr w:rsidR="0079432E" w:rsidRPr="00446A00" w:rsidTr="0079432E">
        <w:trPr>
          <w:trHeight w:val="51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16.7%</w:t>
            </w:r>
          </w:p>
        </w:tc>
      </w:tr>
      <w:tr w:rsidR="0079432E" w:rsidRPr="00446A00" w:rsidTr="0079432E">
        <w:trPr>
          <w:trHeight w:val="495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公共外语教学部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4.3%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3.2%</w:t>
            </w:r>
          </w:p>
        </w:tc>
      </w:tr>
      <w:tr w:rsidR="0079432E" w:rsidRPr="00446A00" w:rsidTr="0079432E">
        <w:trPr>
          <w:trHeight w:val="36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体育教学部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6.3%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8.5%</w:t>
            </w:r>
          </w:p>
        </w:tc>
      </w:tr>
      <w:tr w:rsidR="0079432E" w:rsidRPr="00446A00" w:rsidTr="0079432E">
        <w:trPr>
          <w:trHeight w:val="570"/>
          <w:jc w:val="center"/>
        </w:trPr>
        <w:tc>
          <w:tcPr>
            <w:tcW w:w="1043" w:type="dxa"/>
            <w:vAlign w:val="center"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计算机教学部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2.0%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79432E" w:rsidRPr="00446A00" w:rsidRDefault="0079432E" w:rsidP="00446A0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46A0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16.3%</w:t>
            </w:r>
          </w:p>
        </w:tc>
      </w:tr>
    </w:tbl>
    <w:p w:rsidR="00446A00" w:rsidRDefault="00446A00" w:rsidP="00737A80">
      <w:pPr>
        <w:snapToGrid w:val="0"/>
        <w:spacing w:line="331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bookmarkStart w:id="5" w:name="_Toc456083912"/>
    </w:p>
    <w:p w:rsidR="006D47C6" w:rsidRPr="00446A00" w:rsidRDefault="009729F7" w:rsidP="00446A00">
      <w:pPr>
        <w:snapToGrid w:val="0"/>
        <w:spacing w:line="331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46A00">
        <w:rPr>
          <w:rFonts w:ascii="仿宋" w:eastAsia="仿宋" w:hAnsi="仿宋" w:hint="eastAsia"/>
          <w:b/>
          <w:sz w:val="28"/>
          <w:szCs w:val="28"/>
        </w:rPr>
        <w:t>三</w:t>
      </w:r>
      <w:r w:rsidR="006D47C6" w:rsidRPr="00446A00">
        <w:rPr>
          <w:rFonts w:ascii="仿宋" w:eastAsia="仿宋" w:hAnsi="仿宋" w:hint="eastAsia"/>
          <w:b/>
          <w:sz w:val="28"/>
          <w:szCs w:val="28"/>
        </w:rPr>
        <w:t>、201</w:t>
      </w:r>
      <w:r w:rsidR="002E7BA8" w:rsidRPr="00446A00">
        <w:rPr>
          <w:rFonts w:ascii="仿宋" w:eastAsia="仿宋" w:hAnsi="仿宋" w:hint="eastAsia"/>
          <w:b/>
          <w:sz w:val="28"/>
          <w:szCs w:val="28"/>
        </w:rPr>
        <w:t>8</w:t>
      </w:r>
      <w:r w:rsidR="006D47C6" w:rsidRPr="00446A00">
        <w:rPr>
          <w:rFonts w:ascii="仿宋" w:eastAsia="仿宋" w:hAnsi="仿宋" w:hint="eastAsia"/>
          <w:b/>
          <w:sz w:val="28"/>
          <w:szCs w:val="28"/>
        </w:rPr>
        <w:t>-201</w:t>
      </w:r>
      <w:r w:rsidR="002E7BA8" w:rsidRPr="00446A00">
        <w:rPr>
          <w:rFonts w:ascii="仿宋" w:eastAsia="仿宋" w:hAnsi="仿宋" w:hint="eastAsia"/>
          <w:b/>
          <w:sz w:val="28"/>
          <w:szCs w:val="28"/>
        </w:rPr>
        <w:t>9</w:t>
      </w:r>
      <w:r w:rsidR="006D47C6" w:rsidRPr="00446A00">
        <w:rPr>
          <w:rFonts w:ascii="仿宋" w:eastAsia="仿宋" w:hAnsi="仿宋" w:hint="eastAsia"/>
          <w:b/>
          <w:sz w:val="28"/>
          <w:szCs w:val="28"/>
        </w:rPr>
        <w:t>学年</w:t>
      </w:r>
      <w:r w:rsidR="002E7BA8" w:rsidRPr="00446A00">
        <w:rPr>
          <w:rFonts w:ascii="仿宋" w:eastAsia="仿宋" w:hAnsi="仿宋" w:hint="eastAsia"/>
          <w:b/>
          <w:sz w:val="28"/>
          <w:szCs w:val="28"/>
        </w:rPr>
        <w:t>秋</w:t>
      </w:r>
      <w:r w:rsidR="006D47C6" w:rsidRPr="00446A00">
        <w:rPr>
          <w:rFonts w:ascii="仿宋" w:eastAsia="仿宋" w:hAnsi="仿宋" w:hint="eastAsia"/>
          <w:b/>
          <w:sz w:val="28"/>
          <w:szCs w:val="28"/>
        </w:rPr>
        <w:t>学期</w:t>
      </w:r>
      <w:bookmarkEnd w:id="5"/>
      <w:r w:rsidR="006D47C6" w:rsidRPr="00446A00">
        <w:rPr>
          <w:rFonts w:ascii="仿宋" w:eastAsia="仿宋" w:hAnsi="仿宋" w:hint="eastAsia"/>
          <w:b/>
          <w:sz w:val="28"/>
          <w:szCs w:val="28"/>
        </w:rPr>
        <w:t>学生评教反馈与持续改进</w:t>
      </w:r>
    </w:p>
    <w:p w:rsidR="00737A80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评教结束后，评估中心将教师评教成绩及时反馈到了各</w:t>
      </w:r>
      <w:r w:rsidR="0008662B" w:rsidRPr="00446A00">
        <w:rPr>
          <w:rFonts w:ascii="仿宋" w:eastAsia="仿宋" w:hAnsi="仿宋" w:hint="eastAsia"/>
          <w:sz w:val="28"/>
          <w:szCs w:val="28"/>
        </w:rPr>
        <w:t>教学单位。</w:t>
      </w:r>
      <w:r w:rsidRPr="00446A00">
        <w:rPr>
          <w:rFonts w:ascii="仿宋" w:eastAsia="仿宋" w:hAnsi="仿宋" w:hint="eastAsia"/>
          <w:sz w:val="28"/>
          <w:szCs w:val="28"/>
        </w:rPr>
        <w:t>在全面反馈基础上，评估中心将评教成绩低于85分的教师具体情况反馈给了所在单位，本学期共涉及</w:t>
      </w:r>
      <w:r w:rsidR="002E7BA8" w:rsidRPr="00446A00">
        <w:rPr>
          <w:rFonts w:ascii="仿宋" w:eastAsia="仿宋" w:hAnsi="仿宋" w:hint="eastAsia"/>
          <w:sz w:val="28"/>
          <w:szCs w:val="28"/>
        </w:rPr>
        <w:t>文学院、艺术学院</w:t>
      </w:r>
      <w:r w:rsidRPr="00446A00">
        <w:rPr>
          <w:rFonts w:ascii="仿宋" w:eastAsia="仿宋" w:hAnsi="仿宋" w:hint="eastAsia"/>
          <w:sz w:val="28"/>
          <w:szCs w:val="28"/>
        </w:rPr>
        <w:t>、</w:t>
      </w:r>
      <w:r w:rsidR="00B45298" w:rsidRPr="00446A00">
        <w:rPr>
          <w:rFonts w:ascii="仿宋" w:eastAsia="仿宋" w:hAnsi="仿宋" w:hint="eastAsia"/>
          <w:sz w:val="28"/>
          <w:szCs w:val="28"/>
        </w:rPr>
        <w:t>政法学院、</w:t>
      </w:r>
      <w:proofErr w:type="gramStart"/>
      <w:r w:rsidR="002E7BA8" w:rsidRPr="00446A00">
        <w:rPr>
          <w:rFonts w:ascii="仿宋" w:eastAsia="仿宋" w:hAnsi="仿宋" w:hint="eastAsia"/>
          <w:sz w:val="28"/>
          <w:szCs w:val="28"/>
        </w:rPr>
        <w:t>数信学院</w:t>
      </w:r>
      <w:proofErr w:type="gramEnd"/>
      <w:r w:rsidR="002E7BA8" w:rsidRPr="00446A00">
        <w:rPr>
          <w:rFonts w:ascii="仿宋" w:eastAsia="仿宋" w:hAnsi="仿宋" w:hint="eastAsia"/>
          <w:sz w:val="28"/>
          <w:szCs w:val="28"/>
        </w:rPr>
        <w:t>、化学学院、生命学院和医学院</w:t>
      </w:r>
      <w:r w:rsidRPr="00446A00">
        <w:rPr>
          <w:rFonts w:ascii="仿宋" w:eastAsia="仿宋" w:hAnsi="仿宋" w:hint="eastAsia"/>
          <w:sz w:val="28"/>
          <w:szCs w:val="28"/>
        </w:rPr>
        <w:t>共</w:t>
      </w:r>
      <w:r w:rsidR="002E7BA8" w:rsidRPr="00446A00">
        <w:rPr>
          <w:rFonts w:ascii="仿宋" w:eastAsia="仿宋" w:hAnsi="仿宋" w:hint="eastAsia"/>
          <w:sz w:val="28"/>
          <w:szCs w:val="28"/>
        </w:rPr>
        <w:t>7</w:t>
      </w:r>
      <w:r w:rsidRPr="00446A00">
        <w:rPr>
          <w:rFonts w:ascii="仿宋" w:eastAsia="仿宋" w:hAnsi="仿宋" w:hint="eastAsia"/>
          <w:sz w:val="28"/>
          <w:szCs w:val="28"/>
        </w:rPr>
        <w:t>个教学单位的</w:t>
      </w:r>
      <w:r w:rsidR="002E7BA8" w:rsidRPr="00446A00">
        <w:rPr>
          <w:rFonts w:ascii="仿宋" w:eastAsia="仿宋" w:hAnsi="仿宋" w:hint="eastAsia"/>
          <w:sz w:val="28"/>
          <w:szCs w:val="28"/>
        </w:rPr>
        <w:t>14</w:t>
      </w:r>
      <w:r w:rsidRPr="00446A00">
        <w:rPr>
          <w:rFonts w:ascii="仿宋" w:eastAsia="仿宋" w:hAnsi="仿宋" w:hint="eastAsia"/>
          <w:sz w:val="28"/>
          <w:szCs w:val="28"/>
        </w:rPr>
        <w:t>名教师，</w:t>
      </w:r>
      <w:r w:rsidR="0067162E" w:rsidRPr="00446A00">
        <w:rPr>
          <w:rFonts w:ascii="仿宋" w:eastAsia="仿宋" w:hAnsi="仿宋" w:hint="eastAsia"/>
          <w:sz w:val="28"/>
          <w:szCs w:val="28"/>
        </w:rPr>
        <w:t>涉及</w:t>
      </w:r>
      <w:r w:rsidRPr="00446A00">
        <w:rPr>
          <w:rFonts w:ascii="仿宋" w:eastAsia="仿宋" w:hAnsi="仿宋" w:hint="eastAsia"/>
          <w:sz w:val="28"/>
          <w:szCs w:val="28"/>
        </w:rPr>
        <w:t>课程</w:t>
      </w:r>
      <w:r w:rsidR="002E7BA8" w:rsidRPr="00446A00">
        <w:rPr>
          <w:rFonts w:ascii="仿宋" w:eastAsia="仿宋" w:hAnsi="仿宋" w:hint="eastAsia"/>
          <w:sz w:val="28"/>
          <w:szCs w:val="28"/>
        </w:rPr>
        <w:t>18</w:t>
      </w:r>
      <w:r w:rsidRPr="00446A00">
        <w:rPr>
          <w:rFonts w:ascii="仿宋" w:eastAsia="仿宋" w:hAnsi="仿宋" w:hint="eastAsia"/>
          <w:sz w:val="28"/>
          <w:szCs w:val="28"/>
        </w:rPr>
        <w:t>门</w:t>
      </w:r>
      <w:r w:rsidR="0073097B" w:rsidRPr="00446A00">
        <w:rPr>
          <w:rFonts w:ascii="仿宋" w:eastAsia="仿宋" w:hAnsi="仿宋" w:hint="eastAsia"/>
          <w:sz w:val="28"/>
          <w:szCs w:val="28"/>
        </w:rPr>
        <w:t>，其中个别教师多门课程评教成绩偏低</w:t>
      </w:r>
      <w:r w:rsidR="00E348DD" w:rsidRPr="00446A00">
        <w:rPr>
          <w:rFonts w:ascii="仿宋" w:eastAsia="仿宋" w:hAnsi="仿宋" w:hint="eastAsia"/>
          <w:sz w:val="28"/>
          <w:szCs w:val="28"/>
        </w:rPr>
        <w:t>，</w:t>
      </w:r>
      <w:r w:rsidR="00D24832" w:rsidRPr="00446A00">
        <w:rPr>
          <w:rFonts w:ascii="仿宋" w:eastAsia="仿宋" w:hAnsi="仿宋" w:hint="eastAsia"/>
          <w:sz w:val="28"/>
          <w:szCs w:val="28"/>
        </w:rPr>
        <w:t>极</w:t>
      </w:r>
      <w:r w:rsidR="00E348DD" w:rsidRPr="00446A00">
        <w:rPr>
          <w:rFonts w:ascii="仿宋" w:eastAsia="仿宋" w:hAnsi="仿宋" w:hint="eastAsia"/>
          <w:sz w:val="28"/>
          <w:szCs w:val="28"/>
        </w:rPr>
        <w:t>个别教师评教成绩较低</w:t>
      </w:r>
      <w:r w:rsidR="00AA1118" w:rsidRPr="00446A00">
        <w:rPr>
          <w:rFonts w:ascii="仿宋" w:eastAsia="仿宋" w:hAnsi="仿宋" w:hint="eastAsia"/>
          <w:sz w:val="28"/>
          <w:szCs w:val="28"/>
        </w:rPr>
        <w:t>现象</w:t>
      </w:r>
      <w:r w:rsidR="00E348DD" w:rsidRPr="00446A00">
        <w:rPr>
          <w:rFonts w:ascii="仿宋" w:eastAsia="仿宋" w:hAnsi="仿宋" w:hint="eastAsia"/>
          <w:sz w:val="28"/>
          <w:szCs w:val="28"/>
        </w:rPr>
        <w:t>多</w:t>
      </w:r>
      <w:r w:rsidR="00EB3F93" w:rsidRPr="00446A00">
        <w:rPr>
          <w:rFonts w:ascii="仿宋" w:eastAsia="仿宋" w:hAnsi="仿宋" w:hint="eastAsia"/>
          <w:sz w:val="28"/>
          <w:szCs w:val="28"/>
        </w:rPr>
        <w:t>学期</w:t>
      </w:r>
      <w:r w:rsidR="0008662B" w:rsidRPr="00446A00">
        <w:rPr>
          <w:rFonts w:ascii="仿宋" w:eastAsia="仿宋" w:hAnsi="仿宋" w:hint="eastAsia"/>
          <w:sz w:val="28"/>
          <w:szCs w:val="28"/>
        </w:rPr>
        <w:t>出现。</w:t>
      </w:r>
    </w:p>
    <w:p w:rsidR="006D47C6" w:rsidRPr="00446A00" w:rsidRDefault="00737A80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汇总成绩较低教师的主观评价内容，学生主要反映了以下问题</w:t>
      </w:r>
      <w:r w:rsidR="006D47C6" w:rsidRPr="00446A00">
        <w:rPr>
          <w:rFonts w:ascii="仿宋" w:eastAsia="仿宋" w:hAnsi="仿宋" w:hint="eastAsia"/>
          <w:sz w:val="28"/>
          <w:szCs w:val="28"/>
        </w:rPr>
        <w:t>：</w:t>
      </w:r>
      <w:r w:rsidR="006D47C6" w:rsidRPr="00446A00">
        <w:rPr>
          <w:rFonts w:ascii="仿宋" w:eastAsia="仿宋" w:hAnsi="仿宋"/>
          <w:sz w:val="28"/>
          <w:szCs w:val="28"/>
        </w:rPr>
        <w:t xml:space="preserve"> </w:t>
      </w:r>
    </w:p>
    <w:p w:rsidR="007A19B1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1.教学内容方面：</w:t>
      </w:r>
      <w:r w:rsidR="007A19B1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备课不充分；讲课内容重点不突出</w:t>
      </w: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7A19B1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授课内容空洞、枯燥；个别教师上课一直念PPT、课本和译文，课堂死板无趣，学生学习积极性差；</w:t>
      </w:r>
      <w:r w:rsidR="009E65EA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个别教师上课讲授专业知识过少，讲课内容模糊不清，对实验任务、原理、过程和步骤等多项内容不做说明；</w:t>
      </w:r>
      <w:r w:rsidR="007A19B1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个别教师课堂上犯一些专业常识性错误</w:t>
      </w:r>
      <w:r w:rsidR="00FB3134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，学生认为教师专业水平有待进一步提高；个别教师布置的作业难度大、数量多，学生完成较吃力。</w:t>
      </w:r>
    </w:p>
    <w:p w:rsidR="009E7B5F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2.教学水平方面：不能自如运用各种教学方法及手段，教法僵硬，教学过程缺乏互动，课堂气氛沉闷，学生学习兴趣不高</w:t>
      </w:r>
      <w:r w:rsidR="00563FA9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；个</w:t>
      </w:r>
      <w:r w:rsidR="009E7B5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别教师上课</w:t>
      </w:r>
      <w:r w:rsidR="008579B9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声音</w:t>
      </w:r>
      <w:r w:rsidR="00F93C4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较</w:t>
      </w:r>
      <w:r w:rsidR="008579B9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小</w:t>
      </w:r>
      <w:r w:rsidR="009E7B5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1D7FCE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影响学生</w:t>
      </w:r>
      <w:r w:rsidR="00F93C42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听课</w:t>
      </w:r>
      <w:r w:rsidR="001D7FCE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效果</w:t>
      </w:r>
      <w:r w:rsidR="00EF11A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EF11AF" w:rsidRPr="00446A00">
        <w:rPr>
          <w:rFonts w:ascii="仿宋" w:eastAsia="仿宋" w:hAnsi="仿宋"/>
          <w:color w:val="000000" w:themeColor="text1"/>
          <w:sz w:val="28"/>
          <w:szCs w:val="28"/>
        </w:rPr>
        <w:t>个别教师上课没有条理性</w:t>
      </w:r>
      <w:r w:rsidR="00EF11A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B11E8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上课时间分配比较混乱。</w:t>
      </w:r>
      <w:r w:rsidR="009E7B5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8579B9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3.教学态度方面：</w:t>
      </w:r>
      <w:r w:rsidR="00C279A4">
        <w:rPr>
          <w:rFonts w:ascii="仿宋" w:eastAsia="仿宋" w:hAnsi="仿宋" w:hint="eastAsia"/>
          <w:color w:val="000000" w:themeColor="text1"/>
          <w:sz w:val="28"/>
          <w:szCs w:val="28"/>
        </w:rPr>
        <w:t>极</w:t>
      </w:r>
      <w:r w:rsidR="00FB3134" w:rsidRPr="00446A00">
        <w:rPr>
          <w:rFonts w:ascii="仿宋" w:eastAsia="仿宋" w:hAnsi="仿宋"/>
          <w:color w:val="000000" w:themeColor="text1"/>
          <w:sz w:val="28"/>
          <w:szCs w:val="28"/>
        </w:rPr>
        <w:t>个别教师存在经常迟到和拖堂现象</w:t>
      </w:r>
      <w:r w:rsidR="00FB3134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0F7753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个别教师不能潜心于教学，</w:t>
      </w:r>
      <w:r w:rsidR="009E65EA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教学态度恶劣，不尊重学生；</w:t>
      </w:r>
      <w:r w:rsidR="000A47B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个别</w:t>
      </w:r>
      <w:r w:rsidR="000F7753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教师上课缺少耐心，教学公正性不足。</w:t>
      </w:r>
    </w:p>
    <w:p w:rsidR="00E63116" w:rsidRPr="00446A00" w:rsidRDefault="006D47C6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46A0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4.教学效果方面：</w:t>
      </w:r>
      <w:r w:rsidR="00AA1118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个别教师</w:t>
      </w:r>
      <w:r w:rsidR="000A47BF" w:rsidRPr="00446A00">
        <w:rPr>
          <w:rFonts w:ascii="仿宋" w:eastAsia="仿宋" w:hAnsi="仿宋" w:hint="eastAsia"/>
          <w:color w:val="000000" w:themeColor="text1"/>
          <w:sz w:val="28"/>
          <w:szCs w:val="28"/>
        </w:rPr>
        <w:t>板书太过于潦草，影响学生学习效果；个别教师讲课内容过快，由于课程难度较大学生学习有些吃力。</w:t>
      </w:r>
    </w:p>
    <w:p w:rsidR="006D47C6" w:rsidRPr="00446A00" w:rsidRDefault="00AA1118" w:rsidP="00446A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46A00">
        <w:rPr>
          <w:rFonts w:ascii="仿宋" w:eastAsia="仿宋" w:hAnsi="仿宋" w:hint="eastAsia"/>
          <w:sz w:val="28"/>
          <w:szCs w:val="28"/>
        </w:rPr>
        <w:t>下学期，学校</w:t>
      </w:r>
      <w:r w:rsidR="00737A80" w:rsidRPr="00446A00">
        <w:rPr>
          <w:rFonts w:ascii="仿宋" w:eastAsia="仿宋" w:hAnsi="仿宋" w:hint="eastAsia"/>
          <w:sz w:val="28"/>
          <w:szCs w:val="28"/>
        </w:rPr>
        <w:t>将</w:t>
      </w:r>
      <w:r w:rsidR="00EF11AF" w:rsidRPr="00446A00">
        <w:rPr>
          <w:rFonts w:ascii="仿宋" w:eastAsia="仿宋" w:hAnsi="仿宋" w:hint="eastAsia"/>
          <w:sz w:val="28"/>
          <w:szCs w:val="28"/>
        </w:rPr>
        <w:t>继续</w:t>
      </w:r>
      <w:r w:rsidR="0008662B" w:rsidRPr="00446A00">
        <w:rPr>
          <w:rFonts w:ascii="仿宋" w:eastAsia="仿宋" w:hAnsi="仿宋" w:hint="eastAsia"/>
          <w:sz w:val="28"/>
          <w:szCs w:val="28"/>
        </w:rPr>
        <w:t>组织督学对</w:t>
      </w:r>
      <w:r w:rsidR="001D7FCE" w:rsidRPr="00446A00">
        <w:rPr>
          <w:rFonts w:ascii="仿宋" w:eastAsia="仿宋" w:hAnsi="仿宋" w:hint="eastAsia"/>
          <w:sz w:val="28"/>
          <w:szCs w:val="28"/>
        </w:rPr>
        <w:t>评教成绩较低教师和</w:t>
      </w:r>
      <w:r w:rsidRPr="00446A00">
        <w:rPr>
          <w:rFonts w:ascii="仿宋" w:eastAsia="仿宋" w:hAnsi="仿宋" w:hint="eastAsia"/>
          <w:sz w:val="28"/>
          <w:szCs w:val="28"/>
        </w:rPr>
        <w:t>学生反映问题突出的</w:t>
      </w:r>
      <w:r w:rsidR="0008662B" w:rsidRPr="00446A00">
        <w:rPr>
          <w:rFonts w:ascii="仿宋" w:eastAsia="仿宋" w:hAnsi="仿宋" w:hint="eastAsia"/>
          <w:sz w:val="28"/>
          <w:szCs w:val="28"/>
        </w:rPr>
        <w:t>重点教师进行持续跟踪听课。</w:t>
      </w:r>
      <w:r w:rsidR="00737A80" w:rsidRPr="00446A00">
        <w:rPr>
          <w:rFonts w:ascii="仿宋" w:eastAsia="仿宋" w:hAnsi="仿宋" w:hint="eastAsia"/>
          <w:sz w:val="28"/>
          <w:szCs w:val="28"/>
        </w:rPr>
        <w:t>建议</w:t>
      </w:r>
      <w:r w:rsidR="006D47C6" w:rsidRPr="00446A00">
        <w:rPr>
          <w:rFonts w:ascii="仿宋" w:eastAsia="仿宋" w:hAnsi="仿宋" w:hint="eastAsia"/>
          <w:sz w:val="28"/>
          <w:szCs w:val="28"/>
        </w:rPr>
        <w:t>各相关教学单位将学生意见建议及时反馈给任课教师，尤其针对问题比较突出的教师，要对其存在的问题进行调查落实和帮扶整改，制定改进对策，加大对这部分教</w:t>
      </w:r>
      <w:r w:rsidR="0008662B" w:rsidRPr="00446A00">
        <w:rPr>
          <w:rFonts w:ascii="仿宋" w:eastAsia="仿宋" w:hAnsi="仿宋" w:hint="eastAsia"/>
          <w:sz w:val="28"/>
          <w:szCs w:val="28"/>
        </w:rPr>
        <w:t>师的听课力度，督促教师端正教学态度，提升教学水平。</w:t>
      </w:r>
    </w:p>
    <w:p w:rsidR="003F7004" w:rsidRPr="00446A00" w:rsidRDefault="003F7004" w:rsidP="00737A80">
      <w:pPr>
        <w:snapToGrid w:val="0"/>
        <w:spacing w:line="331" w:lineRule="auto"/>
        <w:rPr>
          <w:rFonts w:ascii="仿宋" w:eastAsia="仿宋" w:hAnsi="仿宋"/>
          <w:sz w:val="28"/>
          <w:szCs w:val="28"/>
        </w:rPr>
      </w:pPr>
    </w:p>
    <w:p w:rsidR="00110E76" w:rsidRPr="00446A00" w:rsidRDefault="00110E76">
      <w:pPr>
        <w:rPr>
          <w:rFonts w:ascii="仿宋" w:eastAsia="仿宋" w:hAnsi="仿宋"/>
          <w:sz w:val="28"/>
          <w:szCs w:val="28"/>
        </w:rPr>
      </w:pPr>
    </w:p>
    <w:sectPr w:rsidR="00110E76" w:rsidRPr="00446A00" w:rsidSect="006C5F1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CF" w:rsidRDefault="00D900CF" w:rsidP="006D47C6">
      <w:r>
        <w:separator/>
      </w:r>
    </w:p>
  </w:endnote>
  <w:endnote w:type="continuationSeparator" w:id="0">
    <w:p w:rsidR="00D900CF" w:rsidRDefault="00D900CF" w:rsidP="006D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CF" w:rsidRDefault="00D900CF" w:rsidP="006D47C6">
      <w:r>
        <w:separator/>
      </w:r>
    </w:p>
  </w:footnote>
  <w:footnote w:type="continuationSeparator" w:id="0">
    <w:p w:rsidR="00D900CF" w:rsidRDefault="00D900CF" w:rsidP="006D4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C6"/>
    <w:rsid w:val="000031C3"/>
    <w:rsid w:val="00017927"/>
    <w:rsid w:val="0002461D"/>
    <w:rsid w:val="00062E5E"/>
    <w:rsid w:val="00063635"/>
    <w:rsid w:val="000658A0"/>
    <w:rsid w:val="00080FDF"/>
    <w:rsid w:val="00084796"/>
    <w:rsid w:val="00085A97"/>
    <w:rsid w:val="0008662B"/>
    <w:rsid w:val="00092876"/>
    <w:rsid w:val="000A47BF"/>
    <w:rsid w:val="000B3604"/>
    <w:rsid w:val="000B4319"/>
    <w:rsid w:val="000C0C1C"/>
    <w:rsid w:val="000C100C"/>
    <w:rsid w:val="000C2785"/>
    <w:rsid w:val="000D3248"/>
    <w:rsid w:val="000F0525"/>
    <w:rsid w:val="000F32A1"/>
    <w:rsid w:val="000F7753"/>
    <w:rsid w:val="00110E76"/>
    <w:rsid w:val="00116AF7"/>
    <w:rsid w:val="00120976"/>
    <w:rsid w:val="001264F5"/>
    <w:rsid w:val="0013322C"/>
    <w:rsid w:val="0015173B"/>
    <w:rsid w:val="00181FDD"/>
    <w:rsid w:val="001937F9"/>
    <w:rsid w:val="00194523"/>
    <w:rsid w:val="00196887"/>
    <w:rsid w:val="00197549"/>
    <w:rsid w:val="001B5893"/>
    <w:rsid w:val="001C6507"/>
    <w:rsid w:val="001D7FCE"/>
    <w:rsid w:val="001E1691"/>
    <w:rsid w:val="00253E89"/>
    <w:rsid w:val="00256929"/>
    <w:rsid w:val="00260918"/>
    <w:rsid w:val="00273A72"/>
    <w:rsid w:val="00273D81"/>
    <w:rsid w:val="00275EB5"/>
    <w:rsid w:val="00276342"/>
    <w:rsid w:val="002A0D6D"/>
    <w:rsid w:val="002B7E7E"/>
    <w:rsid w:val="002C6FB6"/>
    <w:rsid w:val="002D36C5"/>
    <w:rsid w:val="002E0902"/>
    <w:rsid w:val="002E7BA8"/>
    <w:rsid w:val="002F3265"/>
    <w:rsid w:val="002F5479"/>
    <w:rsid w:val="003014E9"/>
    <w:rsid w:val="003048E7"/>
    <w:rsid w:val="00317022"/>
    <w:rsid w:val="003442EC"/>
    <w:rsid w:val="00376600"/>
    <w:rsid w:val="00380BE3"/>
    <w:rsid w:val="00385875"/>
    <w:rsid w:val="0039506C"/>
    <w:rsid w:val="003B11E8"/>
    <w:rsid w:val="003B4571"/>
    <w:rsid w:val="003B6A64"/>
    <w:rsid w:val="003B6D8E"/>
    <w:rsid w:val="003C332C"/>
    <w:rsid w:val="003D4C7E"/>
    <w:rsid w:val="003D53BA"/>
    <w:rsid w:val="003F402A"/>
    <w:rsid w:val="003F7004"/>
    <w:rsid w:val="004078E1"/>
    <w:rsid w:val="0043162F"/>
    <w:rsid w:val="00433CBD"/>
    <w:rsid w:val="00446A00"/>
    <w:rsid w:val="00447566"/>
    <w:rsid w:val="004836A2"/>
    <w:rsid w:val="00485347"/>
    <w:rsid w:val="004A142D"/>
    <w:rsid w:val="004B6E28"/>
    <w:rsid w:val="004C7B60"/>
    <w:rsid w:val="004D5B03"/>
    <w:rsid w:val="004D5C9F"/>
    <w:rsid w:val="004F1652"/>
    <w:rsid w:val="004F40AB"/>
    <w:rsid w:val="00504571"/>
    <w:rsid w:val="00513E36"/>
    <w:rsid w:val="005205A8"/>
    <w:rsid w:val="00522C2C"/>
    <w:rsid w:val="00527555"/>
    <w:rsid w:val="00543A47"/>
    <w:rsid w:val="00550653"/>
    <w:rsid w:val="00560B0B"/>
    <w:rsid w:val="00560D91"/>
    <w:rsid w:val="00563FA9"/>
    <w:rsid w:val="0059179A"/>
    <w:rsid w:val="00595C6A"/>
    <w:rsid w:val="00595F0E"/>
    <w:rsid w:val="005A6EA8"/>
    <w:rsid w:val="005D582E"/>
    <w:rsid w:val="00602F26"/>
    <w:rsid w:val="006154CD"/>
    <w:rsid w:val="00626EBF"/>
    <w:rsid w:val="00633CEB"/>
    <w:rsid w:val="00660C66"/>
    <w:rsid w:val="0067162E"/>
    <w:rsid w:val="0067170D"/>
    <w:rsid w:val="0067185D"/>
    <w:rsid w:val="00685E05"/>
    <w:rsid w:val="00690D61"/>
    <w:rsid w:val="00697119"/>
    <w:rsid w:val="006C5F1A"/>
    <w:rsid w:val="006D47C6"/>
    <w:rsid w:val="007110BA"/>
    <w:rsid w:val="0073097B"/>
    <w:rsid w:val="00737A80"/>
    <w:rsid w:val="007467A9"/>
    <w:rsid w:val="00771E61"/>
    <w:rsid w:val="0078059F"/>
    <w:rsid w:val="0079432E"/>
    <w:rsid w:val="007A19B1"/>
    <w:rsid w:val="007A2272"/>
    <w:rsid w:val="007E5676"/>
    <w:rsid w:val="007F103F"/>
    <w:rsid w:val="0082741A"/>
    <w:rsid w:val="008374BB"/>
    <w:rsid w:val="0085122B"/>
    <w:rsid w:val="008579B9"/>
    <w:rsid w:val="00866793"/>
    <w:rsid w:val="00866A07"/>
    <w:rsid w:val="00867DD4"/>
    <w:rsid w:val="00877805"/>
    <w:rsid w:val="0089161E"/>
    <w:rsid w:val="008B4E57"/>
    <w:rsid w:val="008B7330"/>
    <w:rsid w:val="008C34BA"/>
    <w:rsid w:val="008C68C4"/>
    <w:rsid w:val="00946EC1"/>
    <w:rsid w:val="0096152C"/>
    <w:rsid w:val="00963AE6"/>
    <w:rsid w:val="009729F7"/>
    <w:rsid w:val="00976C34"/>
    <w:rsid w:val="00984E3B"/>
    <w:rsid w:val="009C7050"/>
    <w:rsid w:val="009E65EA"/>
    <w:rsid w:val="009E7B5F"/>
    <w:rsid w:val="00A026E6"/>
    <w:rsid w:val="00A076C5"/>
    <w:rsid w:val="00A16548"/>
    <w:rsid w:val="00A21CDF"/>
    <w:rsid w:val="00A64C0E"/>
    <w:rsid w:val="00A7221B"/>
    <w:rsid w:val="00AA1118"/>
    <w:rsid w:val="00AC5435"/>
    <w:rsid w:val="00AC6762"/>
    <w:rsid w:val="00AC6D9E"/>
    <w:rsid w:val="00AD5EFB"/>
    <w:rsid w:val="00AF0D0B"/>
    <w:rsid w:val="00AF192B"/>
    <w:rsid w:val="00B05BED"/>
    <w:rsid w:val="00B31E8F"/>
    <w:rsid w:val="00B32521"/>
    <w:rsid w:val="00B3355A"/>
    <w:rsid w:val="00B40A97"/>
    <w:rsid w:val="00B45298"/>
    <w:rsid w:val="00B6484F"/>
    <w:rsid w:val="00B65237"/>
    <w:rsid w:val="00B93D66"/>
    <w:rsid w:val="00B95D05"/>
    <w:rsid w:val="00BD296A"/>
    <w:rsid w:val="00BE4E18"/>
    <w:rsid w:val="00C02A8A"/>
    <w:rsid w:val="00C032F8"/>
    <w:rsid w:val="00C040C9"/>
    <w:rsid w:val="00C06309"/>
    <w:rsid w:val="00C1306C"/>
    <w:rsid w:val="00C146C2"/>
    <w:rsid w:val="00C279A4"/>
    <w:rsid w:val="00C43BF2"/>
    <w:rsid w:val="00C8251D"/>
    <w:rsid w:val="00C84B70"/>
    <w:rsid w:val="00C95CCB"/>
    <w:rsid w:val="00CA708B"/>
    <w:rsid w:val="00CB16E9"/>
    <w:rsid w:val="00CE18EA"/>
    <w:rsid w:val="00CF1534"/>
    <w:rsid w:val="00D135C1"/>
    <w:rsid w:val="00D24832"/>
    <w:rsid w:val="00D253C6"/>
    <w:rsid w:val="00D51860"/>
    <w:rsid w:val="00D54443"/>
    <w:rsid w:val="00D6165E"/>
    <w:rsid w:val="00D713D7"/>
    <w:rsid w:val="00D900CF"/>
    <w:rsid w:val="00D91836"/>
    <w:rsid w:val="00DC212E"/>
    <w:rsid w:val="00DF44C0"/>
    <w:rsid w:val="00E0047F"/>
    <w:rsid w:val="00E0610A"/>
    <w:rsid w:val="00E1288D"/>
    <w:rsid w:val="00E21E82"/>
    <w:rsid w:val="00E3210A"/>
    <w:rsid w:val="00E348DD"/>
    <w:rsid w:val="00E37387"/>
    <w:rsid w:val="00E410C7"/>
    <w:rsid w:val="00E53ACB"/>
    <w:rsid w:val="00E63116"/>
    <w:rsid w:val="00E70964"/>
    <w:rsid w:val="00E75D0B"/>
    <w:rsid w:val="00E978A0"/>
    <w:rsid w:val="00EA62F9"/>
    <w:rsid w:val="00EB3F93"/>
    <w:rsid w:val="00EB7993"/>
    <w:rsid w:val="00EC0ECD"/>
    <w:rsid w:val="00EC34EE"/>
    <w:rsid w:val="00EC7BC6"/>
    <w:rsid w:val="00ED0C3C"/>
    <w:rsid w:val="00EE7BC8"/>
    <w:rsid w:val="00EF11AF"/>
    <w:rsid w:val="00EF45D8"/>
    <w:rsid w:val="00EF591F"/>
    <w:rsid w:val="00EF7B8F"/>
    <w:rsid w:val="00F10924"/>
    <w:rsid w:val="00F34D50"/>
    <w:rsid w:val="00F41C29"/>
    <w:rsid w:val="00F62392"/>
    <w:rsid w:val="00F65EC6"/>
    <w:rsid w:val="00F86917"/>
    <w:rsid w:val="00F93C42"/>
    <w:rsid w:val="00FB0DA1"/>
    <w:rsid w:val="00FB3134"/>
    <w:rsid w:val="00FD217E"/>
    <w:rsid w:val="00FD671D"/>
    <w:rsid w:val="00FD7DD7"/>
    <w:rsid w:val="00FE019F"/>
    <w:rsid w:val="00FE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7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F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1901</Words>
  <Characters>2149</Characters>
  <Application>Microsoft Office Word</Application>
  <DocSecurity>0</DocSecurity>
  <Lines>102</Lines>
  <Paragraphs>62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</dc:creator>
  <cp:lastModifiedBy>李东霞</cp:lastModifiedBy>
  <cp:revision>12</cp:revision>
  <cp:lastPrinted>2019-01-02T08:22:00Z</cp:lastPrinted>
  <dcterms:created xsi:type="dcterms:W3CDTF">2019-01-03T02:21:00Z</dcterms:created>
  <dcterms:modified xsi:type="dcterms:W3CDTF">2019-01-04T01:20:00Z</dcterms:modified>
</cp:coreProperties>
</file>